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91F3F" w14:textId="02198E80" w:rsidR="00E90E36" w:rsidRPr="00E90E36" w:rsidRDefault="00E90E36" w:rsidP="00E90E36">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r w:rsidRPr="00E90E36">
        <w:rPr>
          <w:rFonts w:ascii="Times New Roman" w:hAnsi="Times New Roman" w:cs="Times New Roman"/>
          <w:b/>
          <w:bCs/>
          <w:color w:val="000000"/>
          <w:sz w:val="24"/>
          <w:szCs w:val="24"/>
        </w:rPr>
        <w:t>Yeni Tıbbi Cihaz Mevzuatı Hakkında Duyuru</w:t>
      </w:r>
    </w:p>
    <w:bookmarkEnd w:id="0"/>
    <w:p w14:paraId="297C7594" w14:textId="77777777" w:rsidR="00E90E36" w:rsidRPr="00E90E36" w:rsidRDefault="00E90E36" w:rsidP="00E90E36">
      <w:pPr>
        <w:autoSpaceDE w:val="0"/>
        <w:autoSpaceDN w:val="0"/>
        <w:adjustRightInd w:val="0"/>
        <w:spacing w:after="0" w:line="240" w:lineRule="auto"/>
        <w:jc w:val="center"/>
        <w:rPr>
          <w:rFonts w:ascii="Times New Roman" w:hAnsi="Times New Roman" w:cs="Times New Roman"/>
          <w:b/>
          <w:bCs/>
          <w:color w:val="000000"/>
          <w:sz w:val="24"/>
          <w:szCs w:val="24"/>
        </w:rPr>
      </w:pPr>
    </w:p>
    <w:p w14:paraId="2F32246E" w14:textId="1DA53912" w:rsidR="00E90E36" w:rsidRPr="00245366" w:rsidRDefault="00E90E36" w:rsidP="00E90E3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90E36">
        <w:rPr>
          <w:rFonts w:ascii="Times New Roman" w:hAnsi="Times New Roman" w:cs="Times New Roman"/>
          <w:color w:val="000000"/>
          <w:sz w:val="23"/>
          <w:szCs w:val="23"/>
        </w:rPr>
        <w:t>A</w:t>
      </w:r>
      <w:r w:rsidRPr="00245366">
        <w:rPr>
          <w:rFonts w:ascii="Times New Roman" w:hAnsi="Times New Roman" w:cs="Times New Roman"/>
          <w:color w:val="000000"/>
          <w:sz w:val="23"/>
          <w:szCs w:val="23"/>
        </w:rPr>
        <w:t>vrupa Birliği (AB)</w:t>
      </w:r>
      <w:r w:rsidRPr="00E90E36">
        <w:rPr>
          <w:rFonts w:ascii="Times New Roman" w:hAnsi="Times New Roman" w:cs="Times New Roman"/>
          <w:color w:val="000000"/>
          <w:sz w:val="23"/>
          <w:szCs w:val="23"/>
        </w:rPr>
        <w:t xml:space="preserve"> Komisyonu tarafından tıbbi cihazlara ilişkin hazırlanan (AB) 2017/745 (MDR) ve (AB) 2017/746 (IVDR) sayılı Tüzükler Avrupa Birliği Resmi Gazetesi’nde yayımlanarak 25.05.2017 tarihinde yürürlüğe girmiş olup sırasıyla 26.05.2020 ve 26.05.2022 tarihlerinden itibaren uygulanacaktır. Tıbbi cihazların sınıflandırılması konusunda önemli değişiklikler içeren bu Tüzüklerin uyumlaştırma çalışmaları</w:t>
      </w:r>
      <w:r w:rsidRPr="00245366">
        <w:rPr>
          <w:rFonts w:ascii="Times New Roman" w:hAnsi="Times New Roman" w:cs="Times New Roman"/>
          <w:color w:val="000000"/>
          <w:sz w:val="23"/>
          <w:szCs w:val="23"/>
        </w:rPr>
        <w:t>, Sağlık Bakanlığı</w:t>
      </w:r>
      <w:r w:rsidRPr="00E90E36">
        <w:rPr>
          <w:rFonts w:ascii="Times New Roman" w:hAnsi="Times New Roman" w:cs="Times New Roman"/>
          <w:color w:val="000000"/>
          <w:sz w:val="23"/>
          <w:szCs w:val="23"/>
        </w:rPr>
        <w:t xml:space="preserve"> </w:t>
      </w:r>
      <w:r w:rsidRPr="00245366">
        <w:rPr>
          <w:rFonts w:ascii="Times New Roman" w:hAnsi="Times New Roman" w:cs="Times New Roman"/>
          <w:color w:val="000000"/>
          <w:sz w:val="23"/>
          <w:szCs w:val="23"/>
        </w:rPr>
        <w:t>Türkiye İlaç ve Tıbbi Cihaz Kurumu tarafından</w:t>
      </w:r>
      <w:r w:rsidRPr="00E90E36">
        <w:rPr>
          <w:rFonts w:ascii="Times New Roman" w:hAnsi="Times New Roman" w:cs="Times New Roman"/>
          <w:color w:val="000000"/>
          <w:sz w:val="23"/>
          <w:szCs w:val="23"/>
        </w:rPr>
        <w:t xml:space="preserve"> yürütülmektedir. </w:t>
      </w:r>
    </w:p>
    <w:p w14:paraId="3AF9D676" w14:textId="77777777" w:rsidR="00E90E36" w:rsidRPr="00245366" w:rsidRDefault="00E90E36" w:rsidP="00E90E36">
      <w:pPr>
        <w:autoSpaceDE w:val="0"/>
        <w:autoSpaceDN w:val="0"/>
        <w:adjustRightInd w:val="0"/>
        <w:spacing w:after="0" w:line="240" w:lineRule="auto"/>
        <w:ind w:firstLine="708"/>
        <w:jc w:val="both"/>
        <w:rPr>
          <w:rFonts w:ascii="Times New Roman" w:hAnsi="Times New Roman" w:cs="Times New Roman"/>
          <w:color w:val="000000"/>
          <w:sz w:val="23"/>
          <w:szCs w:val="23"/>
        </w:rPr>
      </w:pPr>
    </w:p>
    <w:p w14:paraId="7493003B" w14:textId="77777777" w:rsidR="00E90E36" w:rsidRPr="00245366" w:rsidRDefault="00E90E36" w:rsidP="00E90E3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90E36">
        <w:rPr>
          <w:rFonts w:ascii="Times New Roman" w:hAnsi="Times New Roman" w:cs="Times New Roman"/>
          <w:color w:val="000000"/>
          <w:sz w:val="23"/>
          <w:szCs w:val="23"/>
        </w:rPr>
        <w:t xml:space="preserve">Bu bağlamda ilgili tıbbi cihaz tüzüklerinde imalatçı, ithalatçı ve dağıtıcılara yönelik birçok yeni düzenleme getirilmiş olup sınıflandırma, uygunluk değerlendirme rotaları, klinik değerlendirme, tekil cihaz takibi gibi konularda yeni gereklilikler tanımlanmıştır. </w:t>
      </w:r>
    </w:p>
    <w:p w14:paraId="3A9DC5AD" w14:textId="77777777" w:rsidR="00E90E36" w:rsidRPr="00245366" w:rsidRDefault="00E90E36" w:rsidP="00E90E36">
      <w:pPr>
        <w:autoSpaceDE w:val="0"/>
        <w:autoSpaceDN w:val="0"/>
        <w:adjustRightInd w:val="0"/>
        <w:spacing w:after="0" w:line="240" w:lineRule="auto"/>
        <w:ind w:firstLine="708"/>
        <w:jc w:val="both"/>
        <w:rPr>
          <w:rFonts w:ascii="Times New Roman" w:hAnsi="Times New Roman" w:cs="Times New Roman"/>
          <w:color w:val="000000"/>
          <w:sz w:val="23"/>
          <w:szCs w:val="23"/>
        </w:rPr>
      </w:pPr>
    </w:p>
    <w:p w14:paraId="1DFB547A" w14:textId="1E916AE3" w:rsidR="00E90E36" w:rsidRPr="00245366" w:rsidRDefault="00E90E36" w:rsidP="00E90E3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90E36">
        <w:rPr>
          <w:rFonts w:ascii="Times New Roman" w:hAnsi="Times New Roman" w:cs="Times New Roman"/>
          <w:color w:val="000000"/>
          <w:sz w:val="23"/>
          <w:szCs w:val="23"/>
        </w:rPr>
        <w:t xml:space="preserve">MDR ile ürün kapsamı genişlemiş olup tıbbi cihaz olmayan ancak risk profili açısından tıbbi cihazlara benzer olan ürün grupları da bu Tüzük kapsamına eklenmiştir. Bu ürün gruplarına Tüzük’ün Ek XVI’sında yer verilmiş olup tıbbi amaçlı olmayan: </w:t>
      </w:r>
    </w:p>
    <w:p w14:paraId="4BBE4122" w14:textId="77777777" w:rsidR="00E90E36" w:rsidRPr="00E90E36" w:rsidRDefault="00E90E36" w:rsidP="00E90E36">
      <w:pPr>
        <w:autoSpaceDE w:val="0"/>
        <w:autoSpaceDN w:val="0"/>
        <w:adjustRightInd w:val="0"/>
        <w:spacing w:after="0" w:line="240" w:lineRule="auto"/>
        <w:ind w:firstLine="708"/>
        <w:jc w:val="both"/>
        <w:rPr>
          <w:rFonts w:ascii="Times New Roman" w:hAnsi="Times New Roman" w:cs="Times New Roman"/>
          <w:color w:val="000000"/>
          <w:sz w:val="23"/>
          <w:szCs w:val="23"/>
        </w:rPr>
      </w:pPr>
    </w:p>
    <w:p w14:paraId="4DE48411" w14:textId="759B9AEB" w:rsidR="00E90E36" w:rsidRPr="00245366" w:rsidRDefault="00E90E36" w:rsidP="00E90E36">
      <w:pPr>
        <w:pStyle w:val="ListeParagraf"/>
        <w:numPr>
          <w:ilvl w:val="0"/>
          <w:numId w:val="12"/>
        </w:numPr>
        <w:autoSpaceDE w:val="0"/>
        <w:autoSpaceDN w:val="0"/>
        <w:adjustRightInd w:val="0"/>
        <w:spacing w:after="44" w:line="240" w:lineRule="auto"/>
        <w:jc w:val="both"/>
        <w:rPr>
          <w:rFonts w:ascii="Times New Roman" w:hAnsi="Times New Roman" w:cs="Times New Roman"/>
          <w:color w:val="000000"/>
          <w:sz w:val="23"/>
          <w:szCs w:val="23"/>
        </w:rPr>
      </w:pPr>
      <w:r w:rsidRPr="00245366">
        <w:rPr>
          <w:rFonts w:ascii="Times New Roman" w:hAnsi="Times New Roman" w:cs="Times New Roman"/>
          <w:color w:val="000000"/>
          <w:sz w:val="23"/>
          <w:szCs w:val="23"/>
        </w:rPr>
        <w:t xml:space="preserve">Kontak lensler ya da göz içine veya üzerine uygulanması amaçlanan diğer gereçler; </w:t>
      </w:r>
    </w:p>
    <w:p w14:paraId="52AB5F69" w14:textId="3869B8C6" w:rsidR="00E90E36" w:rsidRPr="00245366" w:rsidRDefault="00E90E36" w:rsidP="00E90E36">
      <w:pPr>
        <w:pStyle w:val="ListeParagraf"/>
        <w:numPr>
          <w:ilvl w:val="0"/>
          <w:numId w:val="12"/>
        </w:numPr>
        <w:autoSpaceDE w:val="0"/>
        <w:autoSpaceDN w:val="0"/>
        <w:adjustRightInd w:val="0"/>
        <w:spacing w:after="44" w:line="240" w:lineRule="auto"/>
        <w:jc w:val="both"/>
        <w:rPr>
          <w:rFonts w:ascii="Times New Roman" w:hAnsi="Times New Roman" w:cs="Times New Roman"/>
          <w:color w:val="000000"/>
          <w:sz w:val="23"/>
          <w:szCs w:val="23"/>
        </w:rPr>
      </w:pPr>
      <w:r w:rsidRPr="00245366">
        <w:rPr>
          <w:rFonts w:ascii="Times New Roman" w:hAnsi="Times New Roman" w:cs="Times New Roman"/>
          <w:color w:val="000000"/>
          <w:sz w:val="23"/>
          <w:szCs w:val="23"/>
        </w:rPr>
        <w:t xml:space="preserve">Dövme ürünleri ve pirsingler (piercing) hariç olmak üzere, anatomiyi değiştirmek ya da vücut parçalarının fiksasyonu amacıyla, cerrahi invaziv yollar aracılığıyla insan vücuduna tamamen veya kısmen uygulanması amaçlanan ürünler, </w:t>
      </w:r>
    </w:p>
    <w:p w14:paraId="137813D1" w14:textId="3D95EE88" w:rsidR="00E90E36" w:rsidRPr="00245366" w:rsidRDefault="00E90E36" w:rsidP="00E90E36">
      <w:pPr>
        <w:pStyle w:val="ListeParagraf"/>
        <w:numPr>
          <w:ilvl w:val="0"/>
          <w:numId w:val="12"/>
        </w:numPr>
        <w:autoSpaceDE w:val="0"/>
        <w:autoSpaceDN w:val="0"/>
        <w:adjustRightInd w:val="0"/>
        <w:spacing w:after="44" w:line="240" w:lineRule="auto"/>
        <w:jc w:val="both"/>
        <w:rPr>
          <w:rFonts w:ascii="Times New Roman" w:hAnsi="Times New Roman" w:cs="Times New Roman"/>
          <w:color w:val="000000"/>
          <w:sz w:val="23"/>
          <w:szCs w:val="23"/>
        </w:rPr>
      </w:pPr>
      <w:r w:rsidRPr="00245366">
        <w:rPr>
          <w:rFonts w:ascii="Times New Roman" w:hAnsi="Times New Roman" w:cs="Times New Roman"/>
          <w:color w:val="000000"/>
          <w:sz w:val="23"/>
          <w:szCs w:val="23"/>
        </w:rPr>
        <w:t xml:space="preserve">Dövmeye yönelik olanlar hariç olmak üzere, subkütan, submukoz veya intradermal enjeksiyon ya da başka bir uygulama yoluyla fasiyal veya diğer dermal dolgu ya da mukoz membran dolgusu olarak kullanılması amaçlanan maddeler, maddelerin kombinasyonları ya da gereçler, </w:t>
      </w:r>
    </w:p>
    <w:p w14:paraId="009CF625" w14:textId="142634FB" w:rsidR="00E90E36" w:rsidRPr="00245366" w:rsidRDefault="00E90E36" w:rsidP="00E90E36">
      <w:pPr>
        <w:pStyle w:val="ListeParagraf"/>
        <w:numPr>
          <w:ilvl w:val="0"/>
          <w:numId w:val="12"/>
        </w:numPr>
        <w:autoSpaceDE w:val="0"/>
        <w:autoSpaceDN w:val="0"/>
        <w:adjustRightInd w:val="0"/>
        <w:spacing w:after="44" w:line="240" w:lineRule="auto"/>
        <w:jc w:val="both"/>
        <w:rPr>
          <w:rFonts w:ascii="Times New Roman" w:hAnsi="Times New Roman" w:cs="Times New Roman"/>
          <w:color w:val="000000"/>
          <w:sz w:val="23"/>
          <w:szCs w:val="23"/>
        </w:rPr>
      </w:pPr>
      <w:r w:rsidRPr="00245366">
        <w:rPr>
          <w:rFonts w:ascii="Times New Roman" w:hAnsi="Times New Roman" w:cs="Times New Roman"/>
          <w:color w:val="000000"/>
          <w:sz w:val="23"/>
          <w:szCs w:val="23"/>
        </w:rPr>
        <w:t xml:space="preserve">Liposakşın, lipoliz veya lipoplastiye yönelik ekipman gibi, yağ dokusunu azaltmak, uzaklaştırmak veya parçalamak için kullanılması amaçlanan ekipman, </w:t>
      </w:r>
    </w:p>
    <w:p w14:paraId="209BAC48" w14:textId="511CF293" w:rsidR="00E90E36" w:rsidRPr="00245366" w:rsidRDefault="00E90E36" w:rsidP="00E90E36">
      <w:pPr>
        <w:pStyle w:val="ListeParagraf"/>
        <w:numPr>
          <w:ilvl w:val="0"/>
          <w:numId w:val="12"/>
        </w:numPr>
        <w:autoSpaceDE w:val="0"/>
        <w:autoSpaceDN w:val="0"/>
        <w:adjustRightInd w:val="0"/>
        <w:spacing w:after="44" w:line="240" w:lineRule="auto"/>
        <w:jc w:val="both"/>
        <w:rPr>
          <w:rFonts w:ascii="Times New Roman" w:hAnsi="Times New Roman" w:cs="Times New Roman"/>
          <w:color w:val="000000"/>
          <w:sz w:val="23"/>
          <w:szCs w:val="23"/>
        </w:rPr>
      </w:pPr>
      <w:r w:rsidRPr="00245366">
        <w:rPr>
          <w:rFonts w:ascii="Times New Roman" w:hAnsi="Times New Roman" w:cs="Times New Roman"/>
          <w:color w:val="000000"/>
          <w:sz w:val="23"/>
          <w:szCs w:val="23"/>
        </w:rPr>
        <w:t xml:space="preserve">Cilt yenilemeye, dövme silme veya tüy almaya ya da diğer cilt uygulamalarına yönelik lazerler ve yoğun atımlı ışık (IPL) ekipmanı gibi, monokromatik ve geniş spektrumda eş fazlı ve eş fazlı olmayan kaynaklar dâhil, insan vücudu üzerinde kullanılması amaçlanan yüksek yoğunluklu elektromanyetik radyasyon (örneğin, kızılötesi/infrared, görünür ışık ve ultraviyole) yayan ekipman, </w:t>
      </w:r>
    </w:p>
    <w:p w14:paraId="134667E5" w14:textId="23F71B92" w:rsidR="00CA735F" w:rsidRPr="00245366" w:rsidRDefault="00E90E36" w:rsidP="00E90E36">
      <w:pPr>
        <w:pStyle w:val="ListeParagraf"/>
        <w:numPr>
          <w:ilvl w:val="0"/>
          <w:numId w:val="12"/>
        </w:numPr>
        <w:autoSpaceDE w:val="0"/>
        <w:autoSpaceDN w:val="0"/>
        <w:adjustRightInd w:val="0"/>
        <w:spacing w:after="0" w:line="240" w:lineRule="auto"/>
        <w:jc w:val="both"/>
        <w:rPr>
          <w:rFonts w:ascii="Times New Roman" w:hAnsi="Times New Roman" w:cs="Times New Roman"/>
          <w:color w:val="000000"/>
          <w:sz w:val="23"/>
          <w:szCs w:val="23"/>
        </w:rPr>
      </w:pPr>
      <w:r w:rsidRPr="00245366">
        <w:rPr>
          <w:rFonts w:ascii="Times New Roman" w:hAnsi="Times New Roman" w:cs="Times New Roman"/>
          <w:color w:val="000000"/>
          <w:sz w:val="23"/>
          <w:szCs w:val="23"/>
        </w:rPr>
        <w:t>Beyindeki sinirsel aktiviteyi değiştirmek için kafatasına penetre olan elektrik akımları ya da manyetik veya elektromanyetik alanlar uygulayan beyin stimülasyonu amaçlı ekipman gibi ürünler tıbbi cihaz olarak değerlendirilecektir.</w:t>
      </w:r>
    </w:p>
    <w:p w14:paraId="59E97473" w14:textId="77777777" w:rsidR="00E90E36" w:rsidRPr="00245366" w:rsidRDefault="00E90E36" w:rsidP="00E90E36">
      <w:pPr>
        <w:pStyle w:val="ListeParagraf"/>
        <w:autoSpaceDE w:val="0"/>
        <w:autoSpaceDN w:val="0"/>
        <w:adjustRightInd w:val="0"/>
        <w:spacing w:after="0" w:line="240" w:lineRule="auto"/>
        <w:jc w:val="both"/>
        <w:rPr>
          <w:rFonts w:ascii="Times New Roman" w:hAnsi="Times New Roman" w:cs="Times New Roman"/>
          <w:color w:val="000000"/>
          <w:sz w:val="23"/>
          <w:szCs w:val="23"/>
        </w:rPr>
      </w:pPr>
    </w:p>
    <w:p w14:paraId="70429339" w14:textId="77777777" w:rsidR="00E90E36" w:rsidRPr="00245366" w:rsidRDefault="00E90E36" w:rsidP="00E90E3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90E36">
        <w:rPr>
          <w:rFonts w:ascii="Times New Roman" w:hAnsi="Times New Roman" w:cs="Times New Roman"/>
          <w:color w:val="000000"/>
          <w:sz w:val="23"/>
          <w:szCs w:val="23"/>
        </w:rPr>
        <w:t xml:space="preserve">Dolayısıyla bu değişiklikler söz konusu ürünlerin imalat, ithalat, ihracat ve kullanım sürecini etkileyecek olup mezkur mevzuatın yürürülüğe girmesi ve akabinde ilgili mevzuata istinaden yayımlanacak ortak teknik spesifikasyonların yürürlüğe girmesi ile birlikte ilgili tarihten itibaren piyasya arz edilen söz konusu ürünlerinde tıbbi cihazlar için belirlenmiş olan ilgili gereklilikleri karşılaması beklenecektir. </w:t>
      </w:r>
    </w:p>
    <w:p w14:paraId="18F58FE1" w14:textId="77777777" w:rsidR="00E90E36" w:rsidRPr="00245366" w:rsidRDefault="00E90E36" w:rsidP="00E90E36">
      <w:pPr>
        <w:autoSpaceDE w:val="0"/>
        <w:autoSpaceDN w:val="0"/>
        <w:adjustRightInd w:val="0"/>
        <w:spacing w:after="0" w:line="240" w:lineRule="auto"/>
        <w:ind w:firstLine="708"/>
        <w:jc w:val="both"/>
        <w:rPr>
          <w:rFonts w:ascii="Times New Roman" w:hAnsi="Times New Roman" w:cs="Times New Roman"/>
          <w:color w:val="000000"/>
          <w:sz w:val="23"/>
          <w:szCs w:val="23"/>
        </w:rPr>
      </w:pPr>
    </w:p>
    <w:p w14:paraId="36FE03D2" w14:textId="441956A2" w:rsidR="00E90E36" w:rsidRPr="00245366" w:rsidRDefault="00E90E36" w:rsidP="00E90E3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90E36">
        <w:rPr>
          <w:rFonts w:ascii="Times New Roman" w:hAnsi="Times New Roman" w:cs="Times New Roman"/>
          <w:color w:val="000000"/>
          <w:sz w:val="23"/>
          <w:szCs w:val="23"/>
        </w:rPr>
        <w:t xml:space="preserve">Söz konusu mevzuatsal değişikliklere bahsi geçen ürün gruplarının zamanında uyum sağlayabilmesi amacıyla bu ürün grubunu ülkemizde imal eden, ithal eden veya hizmete sunan iktisadi işletmecilerin </w:t>
      </w:r>
      <w:r w:rsidRPr="00245366">
        <w:rPr>
          <w:rFonts w:ascii="Times New Roman" w:hAnsi="Times New Roman" w:cs="Times New Roman"/>
          <w:color w:val="000000"/>
          <w:sz w:val="23"/>
          <w:szCs w:val="23"/>
        </w:rPr>
        <w:t>yukarıda</w:t>
      </w:r>
      <w:r w:rsidRPr="00E90E36">
        <w:rPr>
          <w:rFonts w:ascii="Times New Roman" w:hAnsi="Times New Roman" w:cs="Times New Roman"/>
          <w:color w:val="000000"/>
          <w:sz w:val="23"/>
          <w:szCs w:val="23"/>
        </w:rPr>
        <w:t xml:space="preserve"> belirtilen hususları göz önünde bulundurması ve MDR düzenlemeleri hakkında gerekli bilgilendirmeleri</w:t>
      </w:r>
      <w:r w:rsidRPr="00245366">
        <w:rPr>
          <w:rFonts w:ascii="Times New Roman" w:hAnsi="Times New Roman" w:cs="Times New Roman"/>
          <w:color w:val="000000"/>
          <w:sz w:val="23"/>
          <w:szCs w:val="23"/>
        </w:rPr>
        <w:t>n</w:t>
      </w:r>
      <w:r w:rsidRPr="00E90E36">
        <w:rPr>
          <w:rFonts w:ascii="Times New Roman" w:hAnsi="Times New Roman" w:cs="Times New Roman"/>
          <w:color w:val="000000"/>
          <w:sz w:val="23"/>
          <w:szCs w:val="23"/>
        </w:rPr>
        <w:t xml:space="preserve"> </w:t>
      </w:r>
      <w:r w:rsidRPr="00245366">
        <w:rPr>
          <w:rFonts w:ascii="Times New Roman" w:hAnsi="Times New Roman" w:cs="Times New Roman"/>
          <w:color w:val="000000"/>
          <w:sz w:val="23"/>
          <w:szCs w:val="23"/>
        </w:rPr>
        <w:t xml:space="preserve">yapıldığı </w:t>
      </w:r>
      <w:r w:rsidR="00245366">
        <w:rPr>
          <w:rFonts w:ascii="Times New Roman" w:hAnsi="Times New Roman" w:cs="Times New Roman"/>
          <w:color w:val="000000"/>
          <w:sz w:val="23"/>
          <w:szCs w:val="23"/>
        </w:rPr>
        <w:t>aşağıdaki linki</w:t>
      </w:r>
      <w:r w:rsidRPr="00E90E36">
        <w:rPr>
          <w:rFonts w:ascii="Times New Roman" w:hAnsi="Times New Roman" w:cs="Times New Roman"/>
          <w:color w:val="000000"/>
          <w:sz w:val="23"/>
          <w:szCs w:val="23"/>
        </w:rPr>
        <w:t xml:space="preserve"> takip etmeleri</w:t>
      </w:r>
      <w:r w:rsidR="00245366" w:rsidRPr="00245366">
        <w:rPr>
          <w:rFonts w:ascii="Times New Roman" w:hAnsi="Times New Roman" w:cs="Times New Roman"/>
          <w:color w:val="000000"/>
          <w:sz w:val="23"/>
          <w:szCs w:val="23"/>
        </w:rPr>
        <w:t>nde yarar görülmektedir:</w:t>
      </w:r>
    </w:p>
    <w:p w14:paraId="333D730B" w14:textId="5773329B" w:rsidR="00245366" w:rsidRDefault="00245366" w:rsidP="00E90E36">
      <w:pPr>
        <w:autoSpaceDE w:val="0"/>
        <w:autoSpaceDN w:val="0"/>
        <w:adjustRightInd w:val="0"/>
        <w:spacing w:after="0" w:line="240" w:lineRule="auto"/>
        <w:ind w:firstLine="708"/>
        <w:jc w:val="both"/>
        <w:rPr>
          <w:rFonts w:ascii="Times New Roman" w:hAnsi="Times New Roman" w:cs="Times New Roman"/>
          <w:color w:val="000000"/>
          <w:sz w:val="23"/>
          <w:szCs w:val="23"/>
          <w:lang w:val="en-US"/>
        </w:rPr>
      </w:pPr>
    </w:p>
    <w:p w14:paraId="796941F7" w14:textId="5614A2E1" w:rsidR="00245366" w:rsidRPr="00E90E36" w:rsidRDefault="003C45AD" w:rsidP="00E90E36">
      <w:pPr>
        <w:autoSpaceDE w:val="0"/>
        <w:autoSpaceDN w:val="0"/>
        <w:adjustRightInd w:val="0"/>
        <w:spacing w:after="0" w:line="240" w:lineRule="auto"/>
        <w:ind w:firstLine="708"/>
        <w:jc w:val="both"/>
      </w:pPr>
      <w:hyperlink r:id="rId7" w:history="1">
        <w:r w:rsidR="00245366" w:rsidRPr="00662C05">
          <w:rPr>
            <w:rStyle w:val="Kpr"/>
            <w:rFonts w:ascii="Times New Roman" w:hAnsi="Times New Roman" w:cs="Times New Roman"/>
            <w:sz w:val="23"/>
            <w:szCs w:val="23"/>
            <w:lang w:val="en-US"/>
          </w:rPr>
          <w:t>h</w:t>
        </w:r>
        <w:r w:rsidR="00245366" w:rsidRPr="00E90E36">
          <w:rPr>
            <w:rStyle w:val="Kpr"/>
            <w:rFonts w:ascii="Times New Roman" w:hAnsi="Times New Roman" w:cs="Times New Roman"/>
            <w:sz w:val="23"/>
            <w:szCs w:val="23"/>
            <w:lang w:val="en-US"/>
          </w:rPr>
          <w:t>ttps://www.titck.gov.tr/faaliyetalanlari/tibbicihaz/tibbi-cihaz-hakkinda</w:t>
        </w:r>
      </w:hyperlink>
    </w:p>
    <w:p w14:paraId="5DBA8A2E" w14:textId="1EC65E3B" w:rsidR="00E90E36" w:rsidRPr="00E90E36" w:rsidRDefault="00E90E36" w:rsidP="00E90E36">
      <w:pPr>
        <w:jc w:val="both"/>
      </w:pPr>
    </w:p>
    <w:sectPr w:rsidR="00E90E36" w:rsidRPr="00E90E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C7D2A" w14:textId="77777777" w:rsidR="009802AD" w:rsidRDefault="009802AD" w:rsidP="002A654F">
      <w:pPr>
        <w:spacing w:after="0" w:line="240" w:lineRule="auto"/>
      </w:pPr>
      <w:r>
        <w:separator/>
      </w:r>
    </w:p>
  </w:endnote>
  <w:endnote w:type="continuationSeparator" w:id="0">
    <w:p w14:paraId="7264AD7A" w14:textId="77777777" w:rsidR="009802AD" w:rsidRDefault="009802AD" w:rsidP="002A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0781F" w14:textId="77777777" w:rsidR="009802AD" w:rsidRDefault="009802AD" w:rsidP="002A654F">
      <w:pPr>
        <w:spacing w:after="0" w:line="240" w:lineRule="auto"/>
      </w:pPr>
      <w:r>
        <w:separator/>
      </w:r>
    </w:p>
  </w:footnote>
  <w:footnote w:type="continuationSeparator" w:id="0">
    <w:p w14:paraId="32832816" w14:textId="77777777" w:rsidR="009802AD" w:rsidRDefault="009802AD" w:rsidP="002A6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082D"/>
    <w:multiLevelType w:val="hybridMultilevel"/>
    <w:tmpl w:val="A302FD54"/>
    <w:lvl w:ilvl="0" w:tplc="2EEC9F30">
      <w:start w:val="1"/>
      <w:numFmt w:val="bullet"/>
      <w:lvlText w:val="•"/>
      <w:lvlJc w:val="left"/>
      <w:pPr>
        <w:tabs>
          <w:tab w:val="num" w:pos="720"/>
        </w:tabs>
        <w:ind w:left="720" w:hanging="360"/>
      </w:pPr>
      <w:rPr>
        <w:rFonts w:ascii="Times New Roman" w:hAnsi="Times New Roman" w:hint="default"/>
      </w:rPr>
    </w:lvl>
    <w:lvl w:ilvl="1" w:tplc="83D273D8" w:tentative="1">
      <w:start w:val="1"/>
      <w:numFmt w:val="bullet"/>
      <w:lvlText w:val="•"/>
      <w:lvlJc w:val="left"/>
      <w:pPr>
        <w:tabs>
          <w:tab w:val="num" w:pos="1440"/>
        </w:tabs>
        <w:ind w:left="1440" w:hanging="360"/>
      </w:pPr>
      <w:rPr>
        <w:rFonts w:ascii="Times New Roman" w:hAnsi="Times New Roman" w:hint="default"/>
      </w:rPr>
    </w:lvl>
    <w:lvl w:ilvl="2" w:tplc="A9B061A2" w:tentative="1">
      <w:start w:val="1"/>
      <w:numFmt w:val="bullet"/>
      <w:lvlText w:val="•"/>
      <w:lvlJc w:val="left"/>
      <w:pPr>
        <w:tabs>
          <w:tab w:val="num" w:pos="2160"/>
        </w:tabs>
        <w:ind w:left="2160" w:hanging="360"/>
      </w:pPr>
      <w:rPr>
        <w:rFonts w:ascii="Times New Roman" w:hAnsi="Times New Roman" w:hint="default"/>
      </w:rPr>
    </w:lvl>
    <w:lvl w:ilvl="3" w:tplc="030C28A8" w:tentative="1">
      <w:start w:val="1"/>
      <w:numFmt w:val="bullet"/>
      <w:lvlText w:val="•"/>
      <w:lvlJc w:val="left"/>
      <w:pPr>
        <w:tabs>
          <w:tab w:val="num" w:pos="2880"/>
        </w:tabs>
        <w:ind w:left="2880" w:hanging="360"/>
      </w:pPr>
      <w:rPr>
        <w:rFonts w:ascii="Times New Roman" w:hAnsi="Times New Roman" w:hint="default"/>
      </w:rPr>
    </w:lvl>
    <w:lvl w:ilvl="4" w:tplc="1040C12C" w:tentative="1">
      <w:start w:val="1"/>
      <w:numFmt w:val="bullet"/>
      <w:lvlText w:val="•"/>
      <w:lvlJc w:val="left"/>
      <w:pPr>
        <w:tabs>
          <w:tab w:val="num" w:pos="3600"/>
        </w:tabs>
        <w:ind w:left="3600" w:hanging="360"/>
      </w:pPr>
      <w:rPr>
        <w:rFonts w:ascii="Times New Roman" w:hAnsi="Times New Roman" w:hint="default"/>
      </w:rPr>
    </w:lvl>
    <w:lvl w:ilvl="5" w:tplc="3994635C" w:tentative="1">
      <w:start w:val="1"/>
      <w:numFmt w:val="bullet"/>
      <w:lvlText w:val="•"/>
      <w:lvlJc w:val="left"/>
      <w:pPr>
        <w:tabs>
          <w:tab w:val="num" w:pos="4320"/>
        </w:tabs>
        <w:ind w:left="4320" w:hanging="360"/>
      </w:pPr>
      <w:rPr>
        <w:rFonts w:ascii="Times New Roman" w:hAnsi="Times New Roman" w:hint="default"/>
      </w:rPr>
    </w:lvl>
    <w:lvl w:ilvl="6" w:tplc="4708856E" w:tentative="1">
      <w:start w:val="1"/>
      <w:numFmt w:val="bullet"/>
      <w:lvlText w:val="•"/>
      <w:lvlJc w:val="left"/>
      <w:pPr>
        <w:tabs>
          <w:tab w:val="num" w:pos="5040"/>
        </w:tabs>
        <w:ind w:left="5040" w:hanging="360"/>
      </w:pPr>
      <w:rPr>
        <w:rFonts w:ascii="Times New Roman" w:hAnsi="Times New Roman" w:hint="default"/>
      </w:rPr>
    </w:lvl>
    <w:lvl w:ilvl="7" w:tplc="5B3EC3DC" w:tentative="1">
      <w:start w:val="1"/>
      <w:numFmt w:val="bullet"/>
      <w:lvlText w:val="•"/>
      <w:lvlJc w:val="left"/>
      <w:pPr>
        <w:tabs>
          <w:tab w:val="num" w:pos="5760"/>
        </w:tabs>
        <w:ind w:left="5760" w:hanging="360"/>
      </w:pPr>
      <w:rPr>
        <w:rFonts w:ascii="Times New Roman" w:hAnsi="Times New Roman" w:hint="default"/>
      </w:rPr>
    </w:lvl>
    <w:lvl w:ilvl="8" w:tplc="81F637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692CC1"/>
    <w:multiLevelType w:val="hybridMultilevel"/>
    <w:tmpl w:val="21CCE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171284"/>
    <w:multiLevelType w:val="hybridMultilevel"/>
    <w:tmpl w:val="1FC086E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74E2FF3"/>
    <w:multiLevelType w:val="hybridMultilevel"/>
    <w:tmpl w:val="870A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33C3F"/>
    <w:multiLevelType w:val="hybridMultilevel"/>
    <w:tmpl w:val="F7FE5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727161"/>
    <w:multiLevelType w:val="hybridMultilevel"/>
    <w:tmpl w:val="74D2FB10"/>
    <w:lvl w:ilvl="0" w:tplc="B888AA00">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31F137D2"/>
    <w:multiLevelType w:val="hybridMultilevel"/>
    <w:tmpl w:val="6162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A6D7C"/>
    <w:multiLevelType w:val="hybridMultilevel"/>
    <w:tmpl w:val="DAD24F96"/>
    <w:lvl w:ilvl="0" w:tplc="B1046B94">
      <w:start w:val="1"/>
      <w:numFmt w:val="bullet"/>
      <w:lvlText w:val="•"/>
      <w:lvlJc w:val="left"/>
      <w:pPr>
        <w:tabs>
          <w:tab w:val="num" w:pos="720"/>
        </w:tabs>
        <w:ind w:left="720" w:hanging="360"/>
      </w:pPr>
      <w:rPr>
        <w:rFonts w:ascii="Times New Roman" w:hAnsi="Times New Roman" w:hint="default"/>
      </w:rPr>
    </w:lvl>
    <w:lvl w:ilvl="1" w:tplc="8D66FAC8" w:tentative="1">
      <w:start w:val="1"/>
      <w:numFmt w:val="bullet"/>
      <w:lvlText w:val="•"/>
      <w:lvlJc w:val="left"/>
      <w:pPr>
        <w:tabs>
          <w:tab w:val="num" w:pos="1440"/>
        </w:tabs>
        <w:ind w:left="1440" w:hanging="360"/>
      </w:pPr>
      <w:rPr>
        <w:rFonts w:ascii="Times New Roman" w:hAnsi="Times New Roman" w:hint="default"/>
      </w:rPr>
    </w:lvl>
    <w:lvl w:ilvl="2" w:tplc="7CF06BA2" w:tentative="1">
      <w:start w:val="1"/>
      <w:numFmt w:val="bullet"/>
      <w:lvlText w:val="•"/>
      <w:lvlJc w:val="left"/>
      <w:pPr>
        <w:tabs>
          <w:tab w:val="num" w:pos="2160"/>
        </w:tabs>
        <w:ind w:left="2160" w:hanging="360"/>
      </w:pPr>
      <w:rPr>
        <w:rFonts w:ascii="Times New Roman" w:hAnsi="Times New Roman" w:hint="default"/>
      </w:rPr>
    </w:lvl>
    <w:lvl w:ilvl="3" w:tplc="AB5A32AE" w:tentative="1">
      <w:start w:val="1"/>
      <w:numFmt w:val="bullet"/>
      <w:lvlText w:val="•"/>
      <w:lvlJc w:val="left"/>
      <w:pPr>
        <w:tabs>
          <w:tab w:val="num" w:pos="2880"/>
        </w:tabs>
        <w:ind w:left="2880" w:hanging="360"/>
      </w:pPr>
      <w:rPr>
        <w:rFonts w:ascii="Times New Roman" w:hAnsi="Times New Roman" w:hint="default"/>
      </w:rPr>
    </w:lvl>
    <w:lvl w:ilvl="4" w:tplc="9B0CA9C2" w:tentative="1">
      <w:start w:val="1"/>
      <w:numFmt w:val="bullet"/>
      <w:lvlText w:val="•"/>
      <w:lvlJc w:val="left"/>
      <w:pPr>
        <w:tabs>
          <w:tab w:val="num" w:pos="3600"/>
        </w:tabs>
        <w:ind w:left="3600" w:hanging="360"/>
      </w:pPr>
      <w:rPr>
        <w:rFonts w:ascii="Times New Roman" w:hAnsi="Times New Roman" w:hint="default"/>
      </w:rPr>
    </w:lvl>
    <w:lvl w:ilvl="5" w:tplc="14542BA6" w:tentative="1">
      <w:start w:val="1"/>
      <w:numFmt w:val="bullet"/>
      <w:lvlText w:val="•"/>
      <w:lvlJc w:val="left"/>
      <w:pPr>
        <w:tabs>
          <w:tab w:val="num" w:pos="4320"/>
        </w:tabs>
        <w:ind w:left="4320" w:hanging="360"/>
      </w:pPr>
      <w:rPr>
        <w:rFonts w:ascii="Times New Roman" w:hAnsi="Times New Roman" w:hint="default"/>
      </w:rPr>
    </w:lvl>
    <w:lvl w:ilvl="6" w:tplc="E29C2F84" w:tentative="1">
      <w:start w:val="1"/>
      <w:numFmt w:val="bullet"/>
      <w:lvlText w:val="•"/>
      <w:lvlJc w:val="left"/>
      <w:pPr>
        <w:tabs>
          <w:tab w:val="num" w:pos="5040"/>
        </w:tabs>
        <w:ind w:left="5040" w:hanging="360"/>
      </w:pPr>
      <w:rPr>
        <w:rFonts w:ascii="Times New Roman" w:hAnsi="Times New Roman" w:hint="default"/>
      </w:rPr>
    </w:lvl>
    <w:lvl w:ilvl="7" w:tplc="4CB8C0EA" w:tentative="1">
      <w:start w:val="1"/>
      <w:numFmt w:val="bullet"/>
      <w:lvlText w:val="•"/>
      <w:lvlJc w:val="left"/>
      <w:pPr>
        <w:tabs>
          <w:tab w:val="num" w:pos="5760"/>
        </w:tabs>
        <w:ind w:left="5760" w:hanging="360"/>
      </w:pPr>
      <w:rPr>
        <w:rFonts w:ascii="Times New Roman" w:hAnsi="Times New Roman" w:hint="default"/>
      </w:rPr>
    </w:lvl>
    <w:lvl w:ilvl="8" w:tplc="70084F8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A0D0B71"/>
    <w:multiLevelType w:val="hybridMultilevel"/>
    <w:tmpl w:val="64FC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D2B6D"/>
    <w:multiLevelType w:val="hybridMultilevel"/>
    <w:tmpl w:val="48D212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B010CE"/>
    <w:multiLevelType w:val="hybridMultilevel"/>
    <w:tmpl w:val="A2C04AE2"/>
    <w:lvl w:ilvl="0" w:tplc="55E0DC50">
      <w:start w:val="1"/>
      <w:numFmt w:val="bullet"/>
      <w:lvlText w:val=""/>
      <w:lvlJc w:val="left"/>
      <w:pPr>
        <w:tabs>
          <w:tab w:val="num" w:pos="720"/>
        </w:tabs>
        <w:ind w:left="720" w:hanging="360"/>
      </w:pPr>
      <w:rPr>
        <w:rFonts w:ascii="Wingdings" w:hAnsi="Wingdings" w:hint="default"/>
      </w:rPr>
    </w:lvl>
    <w:lvl w:ilvl="1" w:tplc="9E5CBD8E">
      <w:start w:val="257"/>
      <w:numFmt w:val="bullet"/>
      <w:lvlText w:val="–"/>
      <w:lvlJc w:val="left"/>
      <w:pPr>
        <w:tabs>
          <w:tab w:val="num" w:pos="1440"/>
        </w:tabs>
        <w:ind w:left="1440" w:hanging="360"/>
      </w:pPr>
      <w:rPr>
        <w:rFonts w:ascii="Arial" w:hAnsi="Arial" w:hint="default"/>
      </w:rPr>
    </w:lvl>
    <w:lvl w:ilvl="2" w:tplc="82FA354A" w:tentative="1">
      <w:start w:val="1"/>
      <w:numFmt w:val="bullet"/>
      <w:lvlText w:val=""/>
      <w:lvlJc w:val="left"/>
      <w:pPr>
        <w:tabs>
          <w:tab w:val="num" w:pos="2160"/>
        </w:tabs>
        <w:ind w:left="2160" w:hanging="360"/>
      </w:pPr>
      <w:rPr>
        <w:rFonts w:ascii="Wingdings" w:hAnsi="Wingdings" w:hint="default"/>
      </w:rPr>
    </w:lvl>
    <w:lvl w:ilvl="3" w:tplc="A4667E86" w:tentative="1">
      <w:start w:val="1"/>
      <w:numFmt w:val="bullet"/>
      <w:lvlText w:val=""/>
      <w:lvlJc w:val="left"/>
      <w:pPr>
        <w:tabs>
          <w:tab w:val="num" w:pos="2880"/>
        </w:tabs>
        <w:ind w:left="2880" w:hanging="360"/>
      </w:pPr>
      <w:rPr>
        <w:rFonts w:ascii="Wingdings" w:hAnsi="Wingdings" w:hint="default"/>
      </w:rPr>
    </w:lvl>
    <w:lvl w:ilvl="4" w:tplc="45DEB716" w:tentative="1">
      <w:start w:val="1"/>
      <w:numFmt w:val="bullet"/>
      <w:lvlText w:val=""/>
      <w:lvlJc w:val="left"/>
      <w:pPr>
        <w:tabs>
          <w:tab w:val="num" w:pos="3600"/>
        </w:tabs>
        <w:ind w:left="3600" w:hanging="360"/>
      </w:pPr>
      <w:rPr>
        <w:rFonts w:ascii="Wingdings" w:hAnsi="Wingdings" w:hint="default"/>
      </w:rPr>
    </w:lvl>
    <w:lvl w:ilvl="5" w:tplc="79BCA144" w:tentative="1">
      <w:start w:val="1"/>
      <w:numFmt w:val="bullet"/>
      <w:lvlText w:val=""/>
      <w:lvlJc w:val="left"/>
      <w:pPr>
        <w:tabs>
          <w:tab w:val="num" w:pos="4320"/>
        </w:tabs>
        <w:ind w:left="4320" w:hanging="360"/>
      </w:pPr>
      <w:rPr>
        <w:rFonts w:ascii="Wingdings" w:hAnsi="Wingdings" w:hint="default"/>
      </w:rPr>
    </w:lvl>
    <w:lvl w:ilvl="6" w:tplc="474A6B8A" w:tentative="1">
      <w:start w:val="1"/>
      <w:numFmt w:val="bullet"/>
      <w:lvlText w:val=""/>
      <w:lvlJc w:val="left"/>
      <w:pPr>
        <w:tabs>
          <w:tab w:val="num" w:pos="5040"/>
        </w:tabs>
        <w:ind w:left="5040" w:hanging="360"/>
      </w:pPr>
      <w:rPr>
        <w:rFonts w:ascii="Wingdings" w:hAnsi="Wingdings" w:hint="default"/>
      </w:rPr>
    </w:lvl>
    <w:lvl w:ilvl="7" w:tplc="EC2E6A3E" w:tentative="1">
      <w:start w:val="1"/>
      <w:numFmt w:val="bullet"/>
      <w:lvlText w:val=""/>
      <w:lvlJc w:val="left"/>
      <w:pPr>
        <w:tabs>
          <w:tab w:val="num" w:pos="5760"/>
        </w:tabs>
        <w:ind w:left="5760" w:hanging="360"/>
      </w:pPr>
      <w:rPr>
        <w:rFonts w:ascii="Wingdings" w:hAnsi="Wingdings" w:hint="default"/>
      </w:rPr>
    </w:lvl>
    <w:lvl w:ilvl="8" w:tplc="3A9E23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924285"/>
    <w:multiLevelType w:val="hybridMultilevel"/>
    <w:tmpl w:val="7826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5"/>
  </w:num>
  <w:num w:numId="5">
    <w:abstractNumId w:val="10"/>
  </w:num>
  <w:num w:numId="6">
    <w:abstractNumId w:val="0"/>
  </w:num>
  <w:num w:numId="7">
    <w:abstractNumId w:val="4"/>
  </w:num>
  <w:num w:numId="8">
    <w:abstractNumId w:val="1"/>
  </w:num>
  <w:num w:numId="9">
    <w:abstractNumId w:val="8"/>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1A"/>
    <w:rsid w:val="00016936"/>
    <w:rsid w:val="00023C1A"/>
    <w:rsid w:val="00025FE2"/>
    <w:rsid w:val="000B65F6"/>
    <w:rsid w:val="000D6C10"/>
    <w:rsid w:val="000E73BE"/>
    <w:rsid w:val="001E625E"/>
    <w:rsid w:val="00235189"/>
    <w:rsid w:val="00245366"/>
    <w:rsid w:val="002A654F"/>
    <w:rsid w:val="003C45AD"/>
    <w:rsid w:val="003E3722"/>
    <w:rsid w:val="00424636"/>
    <w:rsid w:val="00447743"/>
    <w:rsid w:val="004A0F18"/>
    <w:rsid w:val="004A6DB9"/>
    <w:rsid w:val="00512E52"/>
    <w:rsid w:val="005130C4"/>
    <w:rsid w:val="006122ED"/>
    <w:rsid w:val="00657B8C"/>
    <w:rsid w:val="00662295"/>
    <w:rsid w:val="00706D9F"/>
    <w:rsid w:val="007E08F7"/>
    <w:rsid w:val="00972FC1"/>
    <w:rsid w:val="009802AD"/>
    <w:rsid w:val="00AA47F0"/>
    <w:rsid w:val="00AF62F2"/>
    <w:rsid w:val="00B47F7B"/>
    <w:rsid w:val="00C55542"/>
    <w:rsid w:val="00CA735F"/>
    <w:rsid w:val="00CE7764"/>
    <w:rsid w:val="00D54EBB"/>
    <w:rsid w:val="00E1225D"/>
    <w:rsid w:val="00E90E36"/>
    <w:rsid w:val="00E9601E"/>
    <w:rsid w:val="00EC3982"/>
    <w:rsid w:val="00F153E3"/>
    <w:rsid w:val="00F6240C"/>
    <w:rsid w:val="00FD4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9D90"/>
  <w15:chartTrackingRefBased/>
  <w15:docId w15:val="{B21108E3-E4C1-4258-B25A-4ED38CC8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F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0F18"/>
    <w:pP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Default">
    <w:name w:val="Default"/>
    <w:rsid w:val="00972FC1"/>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CA735F"/>
    <w:pPr>
      <w:spacing w:after="200" w:line="276" w:lineRule="auto"/>
      <w:ind w:left="720"/>
      <w:contextualSpacing/>
    </w:pPr>
  </w:style>
  <w:style w:type="paragraph" w:styleId="BalonMetni">
    <w:name w:val="Balloon Text"/>
    <w:basedOn w:val="Normal"/>
    <w:link w:val="BalonMetniChar"/>
    <w:uiPriority w:val="99"/>
    <w:semiHidden/>
    <w:unhideWhenUsed/>
    <w:rsid w:val="004A6D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6DB9"/>
    <w:rPr>
      <w:rFonts w:ascii="Segoe UI" w:hAnsi="Segoe UI" w:cs="Segoe UI"/>
      <w:sz w:val="18"/>
      <w:szCs w:val="18"/>
    </w:rPr>
  </w:style>
  <w:style w:type="paragraph" w:styleId="stbilgi">
    <w:name w:val="header"/>
    <w:basedOn w:val="Normal"/>
    <w:link w:val="stbilgiChar"/>
    <w:uiPriority w:val="99"/>
    <w:unhideWhenUsed/>
    <w:rsid w:val="002A65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654F"/>
  </w:style>
  <w:style w:type="paragraph" w:styleId="Altbilgi">
    <w:name w:val="footer"/>
    <w:basedOn w:val="Normal"/>
    <w:link w:val="AltbilgiChar"/>
    <w:uiPriority w:val="99"/>
    <w:unhideWhenUsed/>
    <w:rsid w:val="002A65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654F"/>
  </w:style>
  <w:style w:type="character" w:styleId="Kpr">
    <w:name w:val="Hyperlink"/>
    <w:basedOn w:val="VarsaylanParagrafYazTipi"/>
    <w:uiPriority w:val="99"/>
    <w:unhideWhenUsed/>
    <w:rsid w:val="00E90E36"/>
    <w:rPr>
      <w:color w:val="0563C1" w:themeColor="hyperlink"/>
      <w:u w:val="single"/>
    </w:rPr>
  </w:style>
  <w:style w:type="character" w:customStyle="1" w:styleId="UnresolvedMention">
    <w:name w:val="Unresolved Mention"/>
    <w:basedOn w:val="VarsaylanParagrafYazTipi"/>
    <w:uiPriority w:val="99"/>
    <w:semiHidden/>
    <w:unhideWhenUsed/>
    <w:rsid w:val="00E90E36"/>
    <w:rPr>
      <w:color w:val="605E5C"/>
      <w:shd w:val="clear" w:color="auto" w:fill="E1DFDD"/>
    </w:rPr>
  </w:style>
  <w:style w:type="character" w:styleId="zlenenKpr">
    <w:name w:val="FollowedHyperlink"/>
    <w:basedOn w:val="VarsaylanParagrafYazTipi"/>
    <w:uiPriority w:val="99"/>
    <w:semiHidden/>
    <w:unhideWhenUsed/>
    <w:rsid w:val="00245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127">
      <w:bodyDiv w:val="1"/>
      <w:marLeft w:val="0"/>
      <w:marRight w:val="0"/>
      <w:marTop w:val="0"/>
      <w:marBottom w:val="0"/>
      <w:divBdr>
        <w:top w:val="none" w:sz="0" w:space="0" w:color="auto"/>
        <w:left w:val="none" w:sz="0" w:space="0" w:color="auto"/>
        <w:bottom w:val="none" w:sz="0" w:space="0" w:color="auto"/>
        <w:right w:val="none" w:sz="0" w:space="0" w:color="auto"/>
      </w:divBdr>
    </w:div>
    <w:div w:id="300161117">
      <w:bodyDiv w:val="1"/>
      <w:marLeft w:val="0"/>
      <w:marRight w:val="0"/>
      <w:marTop w:val="0"/>
      <w:marBottom w:val="0"/>
      <w:divBdr>
        <w:top w:val="none" w:sz="0" w:space="0" w:color="auto"/>
        <w:left w:val="none" w:sz="0" w:space="0" w:color="auto"/>
        <w:bottom w:val="none" w:sz="0" w:space="0" w:color="auto"/>
        <w:right w:val="none" w:sz="0" w:space="0" w:color="auto"/>
      </w:divBdr>
    </w:div>
    <w:div w:id="419838111">
      <w:bodyDiv w:val="1"/>
      <w:marLeft w:val="0"/>
      <w:marRight w:val="0"/>
      <w:marTop w:val="0"/>
      <w:marBottom w:val="0"/>
      <w:divBdr>
        <w:top w:val="none" w:sz="0" w:space="0" w:color="auto"/>
        <w:left w:val="none" w:sz="0" w:space="0" w:color="auto"/>
        <w:bottom w:val="none" w:sz="0" w:space="0" w:color="auto"/>
        <w:right w:val="none" w:sz="0" w:space="0" w:color="auto"/>
      </w:divBdr>
    </w:div>
    <w:div w:id="554778495">
      <w:bodyDiv w:val="1"/>
      <w:marLeft w:val="0"/>
      <w:marRight w:val="0"/>
      <w:marTop w:val="0"/>
      <w:marBottom w:val="0"/>
      <w:divBdr>
        <w:top w:val="none" w:sz="0" w:space="0" w:color="auto"/>
        <w:left w:val="none" w:sz="0" w:space="0" w:color="auto"/>
        <w:bottom w:val="none" w:sz="0" w:space="0" w:color="auto"/>
        <w:right w:val="none" w:sz="0" w:space="0" w:color="auto"/>
      </w:divBdr>
      <w:divsChild>
        <w:div w:id="1614753335">
          <w:marLeft w:val="547"/>
          <w:marRight w:val="0"/>
          <w:marTop w:val="115"/>
          <w:marBottom w:val="0"/>
          <w:divBdr>
            <w:top w:val="none" w:sz="0" w:space="0" w:color="auto"/>
            <w:left w:val="none" w:sz="0" w:space="0" w:color="auto"/>
            <w:bottom w:val="none" w:sz="0" w:space="0" w:color="auto"/>
            <w:right w:val="none" w:sz="0" w:space="0" w:color="auto"/>
          </w:divBdr>
        </w:div>
        <w:div w:id="170024933">
          <w:marLeft w:val="1166"/>
          <w:marRight w:val="0"/>
          <w:marTop w:val="240"/>
          <w:marBottom w:val="240"/>
          <w:divBdr>
            <w:top w:val="none" w:sz="0" w:space="0" w:color="auto"/>
            <w:left w:val="none" w:sz="0" w:space="0" w:color="auto"/>
            <w:bottom w:val="none" w:sz="0" w:space="0" w:color="auto"/>
            <w:right w:val="none" w:sz="0" w:space="0" w:color="auto"/>
          </w:divBdr>
        </w:div>
        <w:div w:id="625547059">
          <w:marLeft w:val="1166"/>
          <w:marRight w:val="0"/>
          <w:marTop w:val="240"/>
          <w:marBottom w:val="240"/>
          <w:divBdr>
            <w:top w:val="none" w:sz="0" w:space="0" w:color="auto"/>
            <w:left w:val="none" w:sz="0" w:space="0" w:color="auto"/>
            <w:bottom w:val="none" w:sz="0" w:space="0" w:color="auto"/>
            <w:right w:val="none" w:sz="0" w:space="0" w:color="auto"/>
          </w:divBdr>
        </w:div>
      </w:divsChild>
    </w:div>
    <w:div w:id="1058478359">
      <w:bodyDiv w:val="1"/>
      <w:marLeft w:val="0"/>
      <w:marRight w:val="0"/>
      <w:marTop w:val="0"/>
      <w:marBottom w:val="0"/>
      <w:divBdr>
        <w:top w:val="none" w:sz="0" w:space="0" w:color="auto"/>
        <w:left w:val="none" w:sz="0" w:space="0" w:color="auto"/>
        <w:bottom w:val="none" w:sz="0" w:space="0" w:color="auto"/>
        <w:right w:val="none" w:sz="0" w:space="0" w:color="auto"/>
      </w:divBdr>
    </w:div>
    <w:div w:id="1778481998">
      <w:bodyDiv w:val="1"/>
      <w:marLeft w:val="0"/>
      <w:marRight w:val="0"/>
      <w:marTop w:val="0"/>
      <w:marBottom w:val="0"/>
      <w:divBdr>
        <w:top w:val="none" w:sz="0" w:space="0" w:color="auto"/>
        <w:left w:val="none" w:sz="0" w:space="0" w:color="auto"/>
        <w:bottom w:val="none" w:sz="0" w:space="0" w:color="auto"/>
        <w:right w:val="none" w:sz="0" w:space="0" w:color="auto"/>
      </w:divBdr>
    </w:div>
    <w:div w:id="1826504528">
      <w:bodyDiv w:val="1"/>
      <w:marLeft w:val="0"/>
      <w:marRight w:val="0"/>
      <w:marTop w:val="0"/>
      <w:marBottom w:val="0"/>
      <w:divBdr>
        <w:top w:val="none" w:sz="0" w:space="0" w:color="auto"/>
        <w:left w:val="none" w:sz="0" w:space="0" w:color="auto"/>
        <w:bottom w:val="none" w:sz="0" w:space="0" w:color="auto"/>
        <w:right w:val="none" w:sz="0" w:space="0" w:color="auto"/>
      </w:divBdr>
    </w:div>
    <w:div w:id="2112192448">
      <w:bodyDiv w:val="1"/>
      <w:marLeft w:val="0"/>
      <w:marRight w:val="0"/>
      <w:marTop w:val="0"/>
      <w:marBottom w:val="0"/>
      <w:divBdr>
        <w:top w:val="none" w:sz="0" w:space="0" w:color="auto"/>
        <w:left w:val="none" w:sz="0" w:space="0" w:color="auto"/>
        <w:bottom w:val="none" w:sz="0" w:space="0" w:color="auto"/>
        <w:right w:val="none" w:sz="0" w:space="0" w:color="auto"/>
      </w:divBdr>
      <w:divsChild>
        <w:div w:id="1986858572">
          <w:marLeft w:val="547"/>
          <w:marRight w:val="0"/>
          <w:marTop w:val="0"/>
          <w:marBottom w:val="0"/>
          <w:divBdr>
            <w:top w:val="none" w:sz="0" w:space="0" w:color="auto"/>
            <w:left w:val="none" w:sz="0" w:space="0" w:color="auto"/>
            <w:bottom w:val="none" w:sz="0" w:space="0" w:color="auto"/>
            <w:right w:val="none" w:sz="0" w:space="0" w:color="auto"/>
          </w:divBdr>
        </w:div>
        <w:div w:id="187329860">
          <w:marLeft w:val="547"/>
          <w:marRight w:val="0"/>
          <w:marTop w:val="0"/>
          <w:marBottom w:val="0"/>
          <w:divBdr>
            <w:top w:val="none" w:sz="0" w:space="0" w:color="auto"/>
            <w:left w:val="none" w:sz="0" w:space="0" w:color="auto"/>
            <w:bottom w:val="none" w:sz="0" w:space="0" w:color="auto"/>
            <w:right w:val="none" w:sz="0" w:space="0" w:color="auto"/>
          </w:divBdr>
        </w:div>
        <w:div w:id="357393077">
          <w:marLeft w:val="547"/>
          <w:marRight w:val="0"/>
          <w:marTop w:val="0"/>
          <w:marBottom w:val="0"/>
          <w:divBdr>
            <w:top w:val="none" w:sz="0" w:space="0" w:color="auto"/>
            <w:left w:val="none" w:sz="0" w:space="0" w:color="auto"/>
            <w:bottom w:val="none" w:sz="0" w:space="0" w:color="auto"/>
            <w:right w:val="none" w:sz="0" w:space="0" w:color="auto"/>
          </w:divBdr>
        </w:div>
        <w:div w:id="17414460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tck.gov.tr/faaliyetalanlari/tibbicihaz/tibbi-cihaz-hakki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2850</Characters>
  <Application>Microsoft Office Word</Application>
  <DocSecurity>4</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Ekonomi Bakanlığı</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YILMAZCAN</dc:creator>
  <cp:keywords/>
  <dc:description/>
  <cp:lastModifiedBy>Merve OZTAS</cp:lastModifiedBy>
  <cp:revision>2</cp:revision>
  <dcterms:created xsi:type="dcterms:W3CDTF">2020-03-26T09:00:00Z</dcterms:created>
  <dcterms:modified xsi:type="dcterms:W3CDTF">2020-03-26T09:00:00Z</dcterms:modified>
</cp:coreProperties>
</file>